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3D" w:rsidRDefault="002137EC">
      <w:bookmarkStart w:id="0" w:name="_GoBack"/>
      <w:bookmarkEnd w:id="0"/>
      <w:r>
        <w:t>OŠ VAZMOSLAV GRŽALJA</w:t>
      </w:r>
    </w:p>
    <w:p w:rsidR="002137EC" w:rsidRDefault="002137EC">
      <w:r>
        <w:t>Buzet, II. istarske brigade l8</w:t>
      </w:r>
    </w:p>
    <w:p w:rsidR="002137EC" w:rsidRDefault="002137EC"/>
    <w:p w:rsidR="002137EC" w:rsidRDefault="002137EC">
      <w:r>
        <w:t>Kl</w:t>
      </w:r>
      <w:r w:rsidR="005315E1">
        <w:t>asa</w:t>
      </w:r>
      <w:r>
        <w:t>:</w:t>
      </w:r>
      <w:r w:rsidR="006C4768">
        <w:t xml:space="preserve"> 011-02/16-01/01</w:t>
      </w:r>
      <w:r w:rsidR="00430090">
        <w:t xml:space="preserve">  </w:t>
      </w:r>
    </w:p>
    <w:p w:rsidR="002137EC" w:rsidRDefault="002137EC">
      <w:r>
        <w:t>Urbroj:</w:t>
      </w:r>
      <w:r w:rsidR="005315E1">
        <w:t xml:space="preserve"> 2106-23-01-16-1</w:t>
      </w:r>
    </w:p>
    <w:p w:rsidR="002137EC" w:rsidRDefault="002137EC"/>
    <w:p w:rsidR="002137EC" w:rsidRDefault="002137EC">
      <w:r>
        <w:t>Buzet, 21.03.2016.</w:t>
      </w:r>
      <w:r w:rsidR="005315E1">
        <w:t xml:space="preserve"> godine</w:t>
      </w:r>
    </w:p>
    <w:p w:rsidR="002137EC" w:rsidRDefault="002137EC"/>
    <w:p w:rsidR="002137EC" w:rsidRDefault="002137EC">
      <w:r>
        <w:t xml:space="preserve">Temeljem članka 95. Zakona o proračunu (NN. 87/08, 136/12, 15/15) i članka </w:t>
      </w:r>
      <w:r w:rsidR="005315E1">
        <w:t>114.</w:t>
      </w:r>
      <w:r>
        <w:t xml:space="preserve"> Statuta OŠ </w:t>
      </w:r>
      <w:r w:rsidR="005315E1">
        <w:t>„</w:t>
      </w:r>
      <w:r>
        <w:t>Vazmoslav Gržalja</w:t>
      </w:r>
      <w:r w:rsidR="005315E1">
        <w:t xml:space="preserve">“, </w:t>
      </w:r>
      <w:r>
        <w:t xml:space="preserve"> Buzet, ravnateljica OŠ </w:t>
      </w:r>
      <w:r w:rsidR="005315E1">
        <w:t>„</w:t>
      </w:r>
      <w:r>
        <w:t>Vazmoslav Gržalja</w:t>
      </w:r>
      <w:r w:rsidR="005315E1">
        <w:t>“</w:t>
      </w:r>
      <w:r>
        <w:t xml:space="preserve"> , Jadranka Bartolić Muzica, prof. donosi:</w:t>
      </w:r>
    </w:p>
    <w:p w:rsidR="002137EC" w:rsidRDefault="002137EC"/>
    <w:p w:rsidR="002137EC" w:rsidRPr="002137EC" w:rsidRDefault="002137EC" w:rsidP="00C84E4F">
      <w:pPr>
        <w:jc w:val="center"/>
        <w:rPr>
          <w:b/>
        </w:rPr>
      </w:pPr>
      <w:r w:rsidRPr="002137EC">
        <w:rPr>
          <w:b/>
        </w:rPr>
        <w:t>PROCEDURU  PRAĆENJA I NAPLATE PRIHODA</w:t>
      </w:r>
      <w:r w:rsidR="00676F48">
        <w:rPr>
          <w:b/>
        </w:rPr>
        <w:t xml:space="preserve"> I</w:t>
      </w:r>
    </w:p>
    <w:p w:rsidR="002137EC" w:rsidRDefault="002137EC" w:rsidP="00C84E4F">
      <w:pPr>
        <w:jc w:val="center"/>
        <w:rPr>
          <w:b/>
        </w:rPr>
      </w:pPr>
      <w:r w:rsidRPr="002137EC">
        <w:rPr>
          <w:b/>
        </w:rPr>
        <w:t>PRIMITAKA</w:t>
      </w:r>
    </w:p>
    <w:p w:rsidR="00EC5671" w:rsidRDefault="00EC5671">
      <w:pPr>
        <w:rPr>
          <w:b/>
        </w:rPr>
      </w:pPr>
    </w:p>
    <w:p w:rsidR="002137EC" w:rsidRDefault="002137EC" w:rsidP="00C84E4F">
      <w:pPr>
        <w:spacing w:after="0"/>
        <w:jc w:val="center"/>
      </w:pPr>
      <w:r>
        <w:t>Čl.1.</w:t>
      </w:r>
    </w:p>
    <w:p w:rsidR="002137EC" w:rsidRDefault="002137EC" w:rsidP="00C84E4F">
      <w:pPr>
        <w:spacing w:after="0"/>
        <w:jc w:val="both"/>
      </w:pPr>
      <w:r>
        <w:t xml:space="preserve">Ovim aktom utvrđuje se obveza pojedinih službi OŠ </w:t>
      </w:r>
      <w:r w:rsidR="00C84E4F">
        <w:t>„</w:t>
      </w:r>
      <w:r>
        <w:t>Vazmoslav Gržalja</w:t>
      </w:r>
      <w:r w:rsidR="00C84E4F">
        <w:t>“ (</w:t>
      </w:r>
      <w:r>
        <w:t>u nastavku: Škola) te propisuje procedura, odnosno načini i rokovi praćenja i napl</w:t>
      </w:r>
      <w:r w:rsidR="009109A0">
        <w:t>a</w:t>
      </w:r>
      <w:r>
        <w:t>te prihoda i primitaka škole.</w:t>
      </w:r>
    </w:p>
    <w:p w:rsidR="00E70812" w:rsidRDefault="00E70812" w:rsidP="00C84E4F">
      <w:pPr>
        <w:spacing w:after="0"/>
      </w:pPr>
      <w:r>
        <w:t>Vrste prihoda koje Škola naplaćuje su:</w:t>
      </w:r>
    </w:p>
    <w:p w:rsidR="00E70812" w:rsidRDefault="00E70812" w:rsidP="00C84E4F">
      <w:pPr>
        <w:pStyle w:val="Odlomakpopisa"/>
        <w:numPr>
          <w:ilvl w:val="0"/>
          <w:numId w:val="1"/>
        </w:numPr>
        <w:spacing w:after="0"/>
      </w:pPr>
      <w:r>
        <w:t xml:space="preserve">Vlastiti prihodi od najma prostora i opreme, školska marenda </w:t>
      </w:r>
      <w:r w:rsidR="00676F48">
        <w:t>za djelatnike Škole, prihodi od prodaje stambenih objekata</w:t>
      </w:r>
    </w:p>
    <w:p w:rsidR="00676F48" w:rsidRDefault="00676F48" w:rsidP="00C84E4F">
      <w:pPr>
        <w:pStyle w:val="Odlomakpopisa"/>
        <w:numPr>
          <w:ilvl w:val="0"/>
          <w:numId w:val="1"/>
        </w:numPr>
        <w:spacing w:after="0"/>
      </w:pPr>
      <w:r>
        <w:t>Ostali nespomenuti prihodi – sufinanciranje cijene usluga, participacije i slično</w:t>
      </w:r>
    </w:p>
    <w:p w:rsidR="00676F48" w:rsidRDefault="00676F48" w:rsidP="00C84E4F">
      <w:pPr>
        <w:pStyle w:val="Odlomakpopisa"/>
        <w:spacing w:after="0"/>
      </w:pPr>
    </w:p>
    <w:p w:rsidR="00C84E4F" w:rsidRDefault="00C84E4F" w:rsidP="00C84E4F">
      <w:pPr>
        <w:pStyle w:val="Odlomakpopisa"/>
        <w:spacing w:after="0"/>
        <w:ind w:left="0"/>
        <w:jc w:val="center"/>
      </w:pPr>
      <w:r>
        <w:t>Čl. 2.</w:t>
      </w:r>
    </w:p>
    <w:p w:rsidR="00676F48" w:rsidRDefault="00676F48" w:rsidP="00C84E4F">
      <w:pPr>
        <w:spacing w:after="0"/>
        <w:jc w:val="both"/>
      </w:pPr>
      <w:r>
        <w:t>Ako Škola ugovori najam prostora i opreme u vrijednosti većoj od 20.000,00 kn godišnje, sa kupcem ugovara instrument osiguranja plaćanja (zadužnicu).</w:t>
      </w:r>
    </w:p>
    <w:p w:rsidR="00676F48" w:rsidRDefault="00676F48" w:rsidP="00676F48"/>
    <w:p w:rsidR="00676F48" w:rsidRDefault="00676F48" w:rsidP="00C84E4F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84E4F">
        <w:t xml:space="preserve">        </w:t>
      </w:r>
      <w:r>
        <w:t>Čl. 3.</w:t>
      </w:r>
    </w:p>
    <w:p w:rsidR="00676F48" w:rsidRDefault="00676F48" w:rsidP="00C84E4F">
      <w:pPr>
        <w:spacing w:after="0"/>
      </w:pPr>
      <w:r>
        <w:t>Procedura iz članka 1. izvodi se po sljedećem postupku, osim ako nije posebnim propisom drugačije regulirano: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5"/>
        <w:gridCol w:w="3242"/>
        <w:gridCol w:w="1588"/>
        <w:gridCol w:w="1839"/>
        <w:gridCol w:w="1548"/>
      </w:tblGrid>
      <w:tr w:rsidR="00676F48" w:rsidTr="00280446">
        <w:tc>
          <w:tcPr>
            <w:tcW w:w="845" w:type="dxa"/>
          </w:tcPr>
          <w:p w:rsidR="00676F48" w:rsidRPr="00676F48" w:rsidRDefault="00676F48" w:rsidP="00676F48">
            <w:pPr>
              <w:jc w:val="center"/>
              <w:rPr>
                <w:b/>
              </w:rPr>
            </w:pPr>
            <w:r w:rsidRPr="00676F48">
              <w:rPr>
                <w:b/>
              </w:rPr>
              <w:t>REDNI</w:t>
            </w:r>
          </w:p>
          <w:p w:rsidR="00676F48" w:rsidRPr="00676F48" w:rsidRDefault="00676F48" w:rsidP="00676F48">
            <w:pPr>
              <w:jc w:val="center"/>
              <w:rPr>
                <w:b/>
              </w:rPr>
            </w:pPr>
            <w:r w:rsidRPr="00676F48">
              <w:rPr>
                <w:b/>
              </w:rPr>
              <w:t>BROJ</w:t>
            </w:r>
          </w:p>
        </w:tc>
        <w:tc>
          <w:tcPr>
            <w:tcW w:w="3242" w:type="dxa"/>
          </w:tcPr>
          <w:p w:rsidR="00676F48" w:rsidRPr="00676F48" w:rsidRDefault="00676F48" w:rsidP="00676F48">
            <w:pPr>
              <w:jc w:val="center"/>
              <w:rPr>
                <w:b/>
              </w:rPr>
            </w:pPr>
            <w:r w:rsidRPr="00676F48">
              <w:rPr>
                <w:b/>
              </w:rPr>
              <w:t>AKTIVNOST</w:t>
            </w:r>
          </w:p>
        </w:tc>
        <w:tc>
          <w:tcPr>
            <w:tcW w:w="1588" w:type="dxa"/>
          </w:tcPr>
          <w:p w:rsidR="00676F48" w:rsidRPr="00676F48" w:rsidRDefault="00676F48" w:rsidP="00676F48">
            <w:pPr>
              <w:jc w:val="center"/>
              <w:rPr>
                <w:b/>
              </w:rPr>
            </w:pPr>
            <w:r w:rsidRPr="00676F48">
              <w:rPr>
                <w:b/>
              </w:rPr>
              <w:t>NADLEŽNOST</w:t>
            </w:r>
          </w:p>
        </w:tc>
        <w:tc>
          <w:tcPr>
            <w:tcW w:w="1839" w:type="dxa"/>
          </w:tcPr>
          <w:p w:rsidR="00676F48" w:rsidRPr="00676F48" w:rsidRDefault="00676F48" w:rsidP="00676F48">
            <w:pPr>
              <w:jc w:val="center"/>
              <w:rPr>
                <w:b/>
              </w:rPr>
            </w:pPr>
            <w:r w:rsidRPr="00676F48">
              <w:rPr>
                <w:b/>
              </w:rPr>
              <w:t>DOKUMENT</w:t>
            </w:r>
          </w:p>
        </w:tc>
        <w:tc>
          <w:tcPr>
            <w:tcW w:w="1548" w:type="dxa"/>
          </w:tcPr>
          <w:p w:rsidR="00676F48" w:rsidRPr="00676F48" w:rsidRDefault="00676F48" w:rsidP="00676F48">
            <w:pPr>
              <w:jc w:val="center"/>
              <w:rPr>
                <w:b/>
              </w:rPr>
            </w:pPr>
            <w:r w:rsidRPr="00676F48">
              <w:rPr>
                <w:b/>
              </w:rPr>
              <w:t>ROK</w:t>
            </w:r>
          </w:p>
        </w:tc>
      </w:tr>
      <w:tr w:rsidR="00676F48" w:rsidTr="00280446">
        <w:tc>
          <w:tcPr>
            <w:tcW w:w="845" w:type="dxa"/>
          </w:tcPr>
          <w:p w:rsidR="00676F48" w:rsidRDefault="00676F48" w:rsidP="00676F48">
            <w:r>
              <w:t>1.</w:t>
            </w:r>
          </w:p>
        </w:tc>
        <w:tc>
          <w:tcPr>
            <w:tcW w:w="3242" w:type="dxa"/>
          </w:tcPr>
          <w:p w:rsidR="00676F48" w:rsidRDefault="00676F48" w:rsidP="00676F48">
            <w:r>
              <w:t>Dostava podataka računovodstvu o kupcu/najmoprimcu</w:t>
            </w:r>
          </w:p>
        </w:tc>
        <w:tc>
          <w:tcPr>
            <w:tcW w:w="1588" w:type="dxa"/>
          </w:tcPr>
          <w:p w:rsidR="00676F48" w:rsidRDefault="00676F48" w:rsidP="00676F48">
            <w:r>
              <w:t>Tajništvo</w:t>
            </w:r>
          </w:p>
          <w:p w:rsidR="00676F48" w:rsidRDefault="00676F48" w:rsidP="00676F48">
            <w:r>
              <w:t>Računovodstvo</w:t>
            </w:r>
          </w:p>
        </w:tc>
        <w:tc>
          <w:tcPr>
            <w:tcW w:w="1839" w:type="dxa"/>
          </w:tcPr>
          <w:p w:rsidR="00676F48" w:rsidRDefault="00676F48" w:rsidP="00676F48">
            <w:r>
              <w:t>Ugovor</w:t>
            </w:r>
          </w:p>
        </w:tc>
        <w:tc>
          <w:tcPr>
            <w:tcW w:w="1548" w:type="dxa"/>
          </w:tcPr>
          <w:p w:rsidR="00676F48" w:rsidRDefault="00676F48" w:rsidP="00676F48">
            <w:r>
              <w:t xml:space="preserve">Tijekom </w:t>
            </w:r>
          </w:p>
          <w:p w:rsidR="00676F48" w:rsidRDefault="00676F48" w:rsidP="00676F48">
            <w:r>
              <w:t xml:space="preserve">Godine </w:t>
            </w:r>
          </w:p>
        </w:tc>
      </w:tr>
      <w:tr w:rsidR="00676F48" w:rsidTr="00280446">
        <w:tc>
          <w:tcPr>
            <w:tcW w:w="845" w:type="dxa"/>
          </w:tcPr>
          <w:p w:rsidR="00676F48" w:rsidRDefault="00F272E8" w:rsidP="00676F48">
            <w:r>
              <w:t xml:space="preserve">2. </w:t>
            </w:r>
          </w:p>
        </w:tc>
        <w:tc>
          <w:tcPr>
            <w:tcW w:w="3242" w:type="dxa"/>
          </w:tcPr>
          <w:p w:rsidR="00676F48" w:rsidRDefault="00F272E8" w:rsidP="00676F48">
            <w:r>
              <w:t>Izdavanje/izrada računa</w:t>
            </w:r>
          </w:p>
        </w:tc>
        <w:tc>
          <w:tcPr>
            <w:tcW w:w="1588" w:type="dxa"/>
          </w:tcPr>
          <w:p w:rsidR="00676F48" w:rsidRDefault="00F272E8" w:rsidP="00676F48">
            <w:r>
              <w:t>Računovodstvo</w:t>
            </w:r>
          </w:p>
        </w:tc>
        <w:tc>
          <w:tcPr>
            <w:tcW w:w="1839" w:type="dxa"/>
          </w:tcPr>
          <w:p w:rsidR="00676F48" w:rsidRDefault="00F272E8" w:rsidP="00676F48">
            <w:r>
              <w:t>Račun</w:t>
            </w:r>
          </w:p>
        </w:tc>
        <w:tc>
          <w:tcPr>
            <w:tcW w:w="1548" w:type="dxa"/>
          </w:tcPr>
          <w:p w:rsidR="00676F48" w:rsidRDefault="00F272E8" w:rsidP="00676F48">
            <w:r>
              <w:t>Jednom</w:t>
            </w:r>
          </w:p>
          <w:p w:rsidR="00F272E8" w:rsidRDefault="00F272E8" w:rsidP="00676F48">
            <w:r>
              <w:t>Mjesečno</w:t>
            </w:r>
          </w:p>
        </w:tc>
      </w:tr>
      <w:tr w:rsidR="00676F48" w:rsidTr="00280446">
        <w:tc>
          <w:tcPr>
            <w:tcW w:w="845" w:type="dxa"/>
          </w:tcPr>
          <w:p w:rsidR="00676F48" w:rsidRDefault="00F272E8" w:rsidP="00676F48">
            <w:r>
              <w:t>3.</w:t>
            </w:r>
          </w:p>
        </w:tc>
        <w:tc>
          <w:tcPr>
            <w:tcW w:w="3242" w:type="dxa"/>
          </w:tcPr>
          <w:p w:rsidR="00676F48" w:rsidRDefault="00F272E8" w:rsidP="00676F48">
            <w:r>
              <w:t>Ovjera i potpis računa (čl.4)</w:t>
            </w:r>
          </w:p>
        </w:tc>
        <w:tc>
          <w:tcPr>
            <w:tcW w:w="1588" w:type="dxa"/>
          </w:tcPr>
          <w:p w:rsidR="00676F48" w:rsidRDefault="00F272E8" w:rsidP="00676F48">
            <w:r>
              <w:t xml:space="preserve">Ravnatelj </w:t>
            </w:r>
          </w:p>
        </w:tc>
        <w:tc>
          <w:tcPr>
            <w:tcW w:w="1839" w:type="dxa"/>
          </w:tcPr>
          <w:p w:rsidR="00676F48" w:rsidRDefault="00F272E8" w:rsidP="00676F48">
            <w:r>
              <w:t xml:space="preserve">Račun </w:t>
            </w:r>
          </w:p>
        </w:tc>
        <w:tc>
          <w:tcPr>
            <w:tcW w:w="1548" w:type="dxa"/>
          </w:tcPr>
          <w:p w:rsidR="00676F48" w:rsidRDefault="00F272E8" w:rsidP="00676F48">
            <w:r>
              <w:t xml:space="preserve">Dan izrade </w:t>
            </w:r>
          </w:p>
          <w:p w:rsidR="00F272E8" w:rsidRDefault="00F272E8" w:rsidP="00676F48">
            <w:r>
              <w:t xml:space="preserve">Računa </w:t>
            </w:r>
          </w:p>
        </w:tc>
      </w:tr>
      <w:tr w:rsidR="00676F48" w:rsidTr="00280446">
        <w:tc>
          <w:tcPr>
            <w:tcW w:w="845" w:type="dxa"/>
          </w:tcPr>
          <w:p w:rsidR="00676F48" w:rsidRDefault="00F272E8" w:rsidP="00676F48">
            <w:r>
              <w:t>4.</w:t>
            </w:r>
          </w:p>
        </w:tc>
        <w:tc>
          <w:tcPr>
            <w:tcW w:w="3242" w:type="dxa"/>
          </w:tcPr>
          <w:p w:rsidR="00676F48" w:rsidRDefault="00F272E8" w:rsidP="00676F48">
            <w:r>
              <w:t>Slanje izlaznog računa (čl.5.)</w:t>
            </w:r>
          </w:p>
        </w:tc>
        <w:tc>
          <w:tcPr>
            <w:tcW w:w="1588" w:type="dxa"/>
          </w:tcPr>
          <w:p w:rsidR="00676F48" w:rsidRDefault="00EC5671" w:rsidP="00676F48">
            <w:r>
              <w:t xml:space="preserve">Tajništvo </w:t>
            </w:r>
          </w:p>
          <w:p w:rsidR="00EC5671" w:rsidRDefault="00EC5671" w:rsidP="00676F48">
            <w:r>
              <w:t xml:space="preserve">Računovodstvo </w:t>
            </w:r>
          </w:p>
        </w:tc>
        <w:tc>
          <w:tcPr>
            <w:tcW w:w="1839" w:type="dxa"/>
          </w:tcPr>
          <w:p w:rsidR="00676F48" w:rsidRDefault="00EC5671" w:rsidP="00676F48">
            <w:r>
              <w:t>Knjiga izlazne</w:t>
            </w:r>
          </w:p>
          <w:p w:rsidR="00EC5671" w:rsidRDefault="00EC5671" w:rsidP="00676F48">
            <w:r>
              <w:t>pošte</w:t>
            </w:r>
          </w:p>
        </w:tc>
        <w:tc>
          <w:tcPr>
            <w:tcW w:w="1548" w:type="dxa"/>
          </w:tcPr>
          <w:p w:rsidR="00676F48" w:rsidRDefault="00EC5671" w:rsidP="00676F48">
            <w:r>
              <w:t>2 dana nakon</w:t>
            </w:r>
          </w:p>
          <w:p w:rsidR="00EC5671" w:rsidRDefault="00EC5671" w:rsidP="00676F48">
            <w:r>
              <w:t>Ovjere</w:t>
            </w:r>
          </w:p>
        </w:tc>
      </w:tr>
      <w:tr w:rsidR="00676F48" w:rsidTr="00280446">
        <w:tc>
          <w:tcPr>
            <w:tcW w:w="845" w:type="dxa"/>
          </w:tcPr>
          <w:p w:rsidR="00676F48" w:rsidRDefault="00EC5671" w:rsidP="00676F48">
            <w:r>
              <w:lastRenderedPageBreak/>
              <w:t>5.</w:t>
            </w:r>
          </w:p>
        </w:tc>
        <w:tc>
          <w:tcPr>
            <w:tcW w:w="3242" w:type="dxa"/>
          </w:tcPr>
          <w:p w:rsidR="00676F48" w:rsidRDefault="00EC5671" w:rsidP="00676F48">
            <w:r>
              <w:t>Unos/knjiženje izlaznog računa</w:t>
            </w:r>
          </w:p>
        </w:tc>
        <w:tc>
          <w:tcPr>
            <w:tcW w:w="1588" w:type="dxa"/>
          </w:tcPr>
          <w:p w:rsidR="00676F48" w:rsidRDefault="00EC5671" w:rsidP="00676F48">
            <w:r>
              <w:t xml:space="preserve">Računovodstvo </w:t>
            </w:r>
          </w:p>
        </w:tc>
        <w:tc>
          <w:tcPr>
            <w:tcW w:w="1839" w:type="dxa"/>
          </w:tcPr>
          <w:p w:rsidR="00676F48" w:rsidRDefault="00EC5671" w:rsidP="00676F48">
            <w:r>
              <w:t>Knjiga izlaznih</w:t>
            </w:r>
          </w:p>
          <w:p w:rsidR="00EC5671" w:rsidRDefault="00EC5671" w:rsidP="00676F48">
            <w:r>
              <w:t>Računa/glavna</w:t>
            </w:r>
          </w:p>
          <w:p w:rsidR="00EC5671" w:rsidRDefault="00EC5671" w:rsidP="00676F48">
            <w:r>
              <w:t>knjiga</w:t>
            </w:r>
          </w:p>
        </w:tc>
        <w:tc>
          <w:tcPr>
            <w:tcW w:w="1548" w:type="dxa"/>
          </w:tcPr>
          <w:p w:rsidR="00676F48" w:rsidRDefault="00EC5671" w:rsidP="00676F48">
            <w:r>
              <w:t>Unutar mjeseca na koji se račun odnosi</w:t>
            </w:r>
          </w:p>
        </w:tc>
      </w:tr>
      <w:tr w:rsidR="00676F48" w:rsidTr="00280446">
        <w:tc>
          <w:tcPr>
            <w:tcW w:w="845" w:type="dxa"/>
          </w:tcPr>
          <w:p w:rsidR="00676F48" w:rsidRDefault="00EC5671" w:rsidP="00676F48">
            <w:r>
              <w:t>6.</w:t>
            </w:r>
          </w:p>
        </w:tc>
        <w:tc>
          <w:tcPr>
            <w:tcW w:w="3242" w:type="dxa"/>
          </w:tcPr>
          <w:p w:rsidR="00676F48" w:rsidRDefault="00EC5671" w:rsidP="00676F48">
            <w:r>
              <w:t>Evidentiranje naplate prihoda</w:t>
            </w:r>
          </w:p>
        </w:tc>
        <w:tc>
          <w:tcPr>
            <w:tcW w:w="1588" w:type="dxa"/>
          </w:tcPr>
          <w:p w:rsidR="00676F48" w:rsidRDefault="00EC5671" w:rsidP="00676F48">
            <w:r>
              <w:t xml:space="preserve">Računovodstvo </w:t>
            </w:r>
          </w:p>
        </w:tc>
        <w:tc>
          <w:tcPr>
            <w:tcW w:w="1839" w:type="dxa"/>
          </w:tcPr>
          <w:p w:rsidR="00676F48" w:rsidRDefault="00EC5671" w:rsidP="00676F48">
            <w:r>
              <w:t>Izvod poslovnog računa</w:t>
            </w:r>
          </w:p>
        </w:tc>
        <w:tc>
          <w:tcPr>
            <w:tcW w:w="1548" w:type="dxa"/>
          </w:tcPr>
          <w:p w:rsidR="00676F48" w:rsidRDefault="00EC5671" w:rsidP="00676F48">
            <w:r>
              <w:t xml:space="preserve">Tjedno </w:t>
            </w:r>
          </w:p>
        </w:tc>
      </w:tr>
      <w:tr w:rsidR="00676F48" w:rsidTr="00280446">
        <w:tc>
          <w:tcPr>
            <w:tcW w:w="845" w:type="dxa"/>
          </w:tcPr>
          <w:p w:rsidR="00676F48" w:rsidRDefault="00EC5671" w:rsidP="00676F48">
            <w:r>
              <w:t>7.</w:t>
            </w:r>
          </w:p>
        </w:tc>
        <w:tc>
          <w:tcPr>
            <w:tcW w:w="3242" w:type="dxa"/>
          </w:tcPr>
          <w:p w:rsidR="00676F48" w:rsidRDefault="00EC5671" w:rsidP="00676F48">
            <w:r>
              <w:t>Praćenje naplate prihoda (analitički)</w:t>
            </w:r>
          </w:p>
        </w:tc>
        <w:tc>
          <w:tcPr>
            <w:tcW w:w="1588" w:type="dxa"/>
          </w:tcPr>
          <w:p w:rsidR="00676F48" w:rsidRDefault="00EC5671" w:rsidP="00EC5671">
            <w:r>
              <w:t xml:space="preserve">Računovodstvo </w:t>
            </w:r>
          </w:p>
        </w:tc>
        <w:tc>
          <w:tcPr>
            <w:tcW w:w="1839" w:type="dxa"/>
          </w:tcPr>
          <w:p w:rsidR="00676F48" w:rsidRDefault="00EC5671" w:rsidP="00676F48">
            <w:r>
              <w:t>Izvod otvorenih stavki</w:t>
            </w:r>
          </w:p>
        </w:tc>
        <w:tc>
          <w:tcPr>
            <w:tcW w:w="1548" w:type="dxa"/>
          </w:tcPr>
          <w:p w:rsidR="00676F48" w:rsidRDefault="00EC5671" w:rsidP="00676F48">
            <w:r>
              <w:t xml:space="preserve">Mjesečno </w:t>
            </w:r>
          </w:p>
        </w:tc>
      </w:tr>
      <w:tr w:rsidR="00676F48" w:rsidTr="00280446">
        <w:tc>
          <w:tcPr>
            <w:tcW w:w="845" w:type="dxa"/>
          </w:tcPr>
          <w:p w:rsidR="00676F48" w:rsidRDefault="00EC5671" w:rsidP="00676F48">
            <w:r>
              <w:t>8.</w:t>
            </w:r>
          </w:p>
        </w:tc>
        <w:tc>
          <w:tcPr>
            <w:tcW w:w="3242" w:type="dxa"/>
          </w:tcPr>
          <w:p w:rsidR="00676F48" w:rsidRDefault="00EC5671" w:rsidP="00EC5671">
            <w:r>
              <w:t>Upozoravanje i izdavanje opomena i opomena pred tužbu (čl.6.)</w:t>
            </w:r>
          </w:p>
        </w:tc>
        <w:tc>
          <w:tcPr>
            <w:tcW w:w="1588" w:type="dxa"/>
          </w:tcPr>
          <w:p w:rsidR="00676F48" w:rsidRDefault="00EC5671" w:rsidP="00EC5671">
            <w:r>
              <w:t xml:space="preserve">Računovodstvo </w:t>
            </w:r>
          </w:p>
        </w:tc>
        <w:tc>
          <w:tcPr>
            <w:tcW w:w="1839" w:type="dxa"/>
          </w:tcPr>
          <w:p w:rsidR="00676F48" w:rsidRDefault="00EC5671" w:rsidP="00676F48">
            <w:r>
              <w:t>Opomene i opomene pred tužbu</w:t>
            </w:r>
          </w:p>
        </w:tc>
        <w:tc>
          <w:tcPr>
            <w:tcW w:w="1548" w:type="dxa"/>
          </w:tcPr>
          <w:p w:rsidR="00676F48" w:rsidRDefault="00EC5671" w:rsidP="00676F48">
            <w:r>
              <w:t>Tijekom godine</w:t>
            </w:r>
          </w:p>
        </w:tc>
      </w:tr>
      <w:tr w:rsidR="00676F48" w:rsidTr="00280446">
        <w:tc>
          <w:tcPr>
            <w:tcW w:w="845" w:type="dxa"/>
          </w:tcPr>
          <w:p w:rsidR="00676F48" w:rsidRDefault="00EC5671" w:rsidP="00676F48">
            <w:r>
              <w:t>9.</w:t>
            </w:r>
          </w:p>
        </w:tc>
        <w:tc>
          <w:tcPr>
            <w:tcW w:w="3242" w:type="dxa"/>
          </w:tcPr>
          <w:p w:rsidR="00676F48" w:rsidRDefault="00EC5671" w:rsidP="00676F48">
            <w:r>
              <w:t>Praćenje naplate prihoda po izdanim opomenama</w:t>
            </w:r>
          </w:p>
        </w:tc>
        <w:tc>
          <w:tcPr>
            <w:tcW w:w="1588" w:type="dxa"/>
          </w:tcPr>
          <w:p w:rsidR="00676F48" w:rsidRDefault="00EC5671" w:rsidP="00676F48">
            <w:r>
              <w:t xml:space="preserve">Računovodstvo </w:t>
            </w:r>
          </w:p>
        </w:tc>
        <w:tc>
          <w:tcPr>
            <w:tcW w:w="1839" w:type="dxa"/>
          </w:tcPr>
          <w:p w:rsidR="00676F48" w:rsidRDefault="00EC5671" w:rsidP="00676F48">
            <w:r>
              <w:t>Izvod poslovnog računa</w:t>
            </w:r>
          </w:p>
        </w:tc>
        <w:tc>
          <w:tcPr>
            <w:tcW w:w="1548" w:type="dxa"/>
          </w:tcPr>
          <w:p w:rsidR="00676F48" w:rsidRDefault="00EC5671" w:rsidP="00676F48">
            <w:r>
              <w:t>Tijekom godine</w:t>
            </w:r>
          </w:p>
        </w:tc>
      </w:tr>
      <w:tr w:rsidR="00676F48" w:rsidTr="00280446">
        <w:tc>
          <w:tcPr>
            <w:tcW w:w="845" w:type="dxa"/>
          </w:tcPr>
          <w:p w:rsidR="00676F48" w:rsidRDefault="00EC5671" w:rsidP="00676F48">
            <w:r>
              <w:t xml:space="preserve">10. </w:t>
            </w:r>
          </w:p>
        </w:tc>
        <w:tc>
          <w:tcPr>
            <w:tcW w:w="3242" w:type="dxa"/>
          </w:tcPr>
          <w:p w:rsidR="00676F48" w:rsidRDefault="00EC5671" w:rsidP="00676F48">
            <w:r>
              <w:t>Donošenje odluke o prisilnoj naplati</w:t>
            </w:r>
          </w:p>
        </w:tc>
        <w:tc>
          <w:tcPr>
            <w:tcW w:w="1588" w:type="dxa"/>
          </w:tcPr>
          <w:p w:rsidR="00676F48" w:rsidRDefault="00EC5671" w:rsidP="00676F48">
            <w:r>
              <w:t xml:space="preserve">Ravnatelj </w:t>
            </w:r>
          </w:p>
        </w:tc>
        <w:tc>
          <w:tcPr>
            <w:tcW w:w="1839" w:type="dxa"/>
          </w:tcPr>
          <w:p w:rsidR="00676F48" w:rsidRDefault="00EC5671" w:rsidP="00EC5671">
            <w:r>
              <w:t>Odluka o prisilnoj naplati potraživanja</w:t>
            </w:r>
          </w:p>
        </w:tc>
        <w:tc>
          <w:tcPr>
            <w:tcW w:w="1548" w:type="dxa"/>
          </w:tcPr>
          <w:p w:rsidR="00676F48" w:rsidRDefault="00280446" w:rsidP="00676F48">
            <w:r>
              <w:t>Tijekom godine</w:t>
            </w:r>
          </w:p>
        </w:tc>
      </w:tr>
      <w:tr w:rsidR="00676F48" w:rsidTr="00280446">
        <w:tc>
          <w:tcPr>
            <w:tcW w:w="845" w:type="dxa"/>
          </w:tcPr>
          <w:p w:rsidR="00676F48" w:rsidRDefault="00280446" w:rsidP="00676F48">
            <w:r>
              <w:t>11.</w:t>
            </w:r>
          </w:p>
        </w:tc>
        <w:tc>
          <w:tcPr>
            <w:tcW w:w="3242" w:type="dxa"/>
          </w:tcPr>
          <w:p w:rsidR="00676F48" w:rsidRDefault="00280446" w:rsidP="00676F48">
            <w:r>
              <w:t>Ovrha-prisilna naplata potraživanja u skladu s Ovršnim zakonom</w:t>
            </w:r>
          </w:p>
        </w:tc>
        <w:tc>
          <w:tcPr>
            <w:tcW w:w="1588" w:type="dxa"/>
          </w:tcPr>
          <w:p w:rsidR="00676F48" w:rsidRDefault="00280446" w:rsidP="00676F48">
            <w:r>
              <w:t xml:space="preserve">Tajništvo </w:t>
            </w:r>
          </w:p>
        </w:tc>
        <w:tc>
          <w:tcPr>
            <w:tcW w:w="1839" w:type="dxa"/>
          </w:tcPr>
          <w:p w:rsidR="00676F48" w:rsidRDefault="00280446" w:rsidP="00676F48">
            <w:r>
              <w:t>Ovršni postupak kod javnog bilježnika</w:t>
            </w:r>
          </w:p>
        </w:tc>
        <w:tc>
          <w:tcPr>
            <w:tcW w:w="1548" w:type="dxa"/>
          </w:tcPr>
          <w:p w:rsidR="00676F48" w:rsidRDefault="00280446" w:rsidP="00280446">
            <w:r>
              <w:t xml:space="preserve">15 dana nakon donošenja Odluke </w:t>
            </w:r>
          </w:p>
        </w:tc>
      </w:tr>
    </w:tbl>
    <w:p w:rsidR="00676F48" w:rsidRDefault="00676F48" w:rsidP="00676F48"/>
    <w:p w:rsidR="00280446" w:rsidRDefault="00280446" w:rsidP="00C84E4F">
      <w:pPr>
        <w:spacing w:after="0"/>
        <w:jc w:val="center"/>
      </w:pPr>
      <w:r>
        <w:t>Čl. 4.</w:t>
      </w:r>
    </w:p>
    <w:p w:rsidR="00280446" w:rsidRDefault="00280446" w:rsidP="00C84E4F">
      <w:pPr>
        <w:spacing w:after="0"/>
        <w:jc w:val="both"/>
      </w:pPr>
      <w:r>
        <w:t>Ovjeravaju se samo računi izdani za najam prostora i opreme.</w:t>
      </w:r>
    </w:p>
    <w:p w:rsidR="00280446" w:rsidRDefault="00280446" w:rsidP="00C84E4F">
      <w:pPr>
        <w:spacing w:after="0"/>
        <w:jc w:val="both"/>
      </w:pPr>
      <w:r>
        <w:t>Na izdanim izlaznim računima za ostale nespomenute prihode upisuje se napomena: Račun je izdan u elektroničkom obliku i važeći je bez pečata i potpisa.</w:t>
      </w:r>
    </w:p>
    <w:p w:rsidR="00280446" w:rsidRDefault="00280446" w:rsidP="00C84E4F">
      <w:pPr>
        <w:jc w:val="both"/>
      </w:pPr>
    </w:p>
    <w:p w:rsidR="00280446" w:rsidRDefault="00280446" w:rsidP="00C84E4F">
      <w:pPr>
        <w:jc w:val="center"/>
      </w:pPr>
      <w:r>
        <w:t>Čl. 5.</w:t>
      </w:r>
    </w:p>
    <w:p w:rsidR="00280446" w:rsidRDefault="00280446" w:rsidP="00C84E4F">
      <w:pPr>
        <w:jc w:val="both"/>
      </w:pPr>
      <w:r>
        <w:t>Izlazni računi za sufinanciranje, participacije i sl.(školska marenda, produženi boravak) uručuju se razrednicima do 8. dana u mjesecu za protekli mjesec.</w:t>
      </w:r>
    </w:p>
    <w:p w:rsidR="00280446" w:rsidRDefault="00280446" w:rsidP="00C84E4F">
      <w:pPr>
        <w:jc w:val="both"/>
      </w:pPr>
      <w:r>
        <w:t>Izlazni računi za sufinanciranje stanarine, troškova vode, toplog obroka, otplate stanova, uručuju se osobno djelatniku škole do 10. dana u mjesecu za protekli mjesec.</w:t>
      </w:r>
    </w:p>
    <w:p w:rsidR="00A17207" w:rsidRDefault="00A17207" w:rsidP="005315E1">
      <w:pPr>
        <w:jc w:val="both"/>
      </w:pPr>
      <w:r>
        <w:t>Izlazni računi za najam prostora i opreme do 10. dana u mjesecu za prethodni mjesec otpremaju se poštom na adresu kupca navedenoj u ugovoru o najmu.</w:t>
      </w:r>
    </w:p>
    <w:p w:rsidR="00A17207" w:rsidRDefault="00A17207" w:rsidP="00C84E4F">
      <w:pPr>
        <w:spacing w:after="0"/>
        <w:jc w:val="center"/>
      </w:pPr>
      <w:r>
        <w:t>Čl. 6.</w:t>
      </w:r>
    </w:p>
    <w:p w:rsidR="00A17207" w:rsidRDefault="00A17207" w:rsidP="00C84E4F">
      <w:pPr>
        <w:spacing w:after="0"/>
        <w:jc w:val="both"/>
      </w:pPr>
      <w:r>
        <w:t>Prvo upozorenje telefonskim pozivom uz službenu zabilješku ili pisanom opomenom ide u slučaju isteka roka plaćanja drugog po redu neplaćenog računa.</w:t>
      </w:r>
    </w:p>
    <w:p w:rsidR="00A17207" w:rsidRDefault="00A17207" w:rsidP="00C84E4F">
      <w:pPr>
        <w:spacing w:after="0"/>
        <w:jc w:val="both"/>
      </w:pPr>
      <w:r>
        <w:t>Rok plaćanja prema opomeni određuje se na 30 dana od izdavanja opomene.</w:t>
      </w:r>
    </w:p>
    <w:p w:rsidR="00A17207" w:rsidRDefault="00A17207" w:rsidP="00676F48"/>
    <w:p w:rsidR="00A17207" w:rsidRDefault="00A17207" w:rsidP="00C84E4F">
      <w:pPr>
        <w:spacing w:after="0"/>
        <w:jc w:val="center"/>
      </w:pPr>
      <w:r>
        <w:t>Čl. 7.</w:t>
      </w:r>
    </w:p>
    <w:p w:rsidR="00A17207" w:rsidRDefault="00A17207" w:rsidP="00C84E4F">
      <w:pPr>
        <w:spacing w:after="0"/>
        <w:jc w:val="both"/>
      </w:pPr>
      <w:r>
        <w:t xml:space="preserve">Nakon što u roku od 30 dana nije naplaćen dug za koji je poslana opomena, računovodstvo o tome obavještava ravnatelja koji donosi </w:t>
      </w:r>
      <w:r w:rsidR="00300905">
        <w:t>O</w:t>
      </w:r>
      <w:r>
        <w:t>dluku o prisilnoj naplati potraživanja te se pokreće ovršni postupak</w:t>
      </w:r>
      <w:r w:rsidR="00300905">
        <w:t xml:space="preserve"> kod javnog bilježnika.</w:t>
      </w:r>
    </w:p>
    <w:p w:rsidR="00300905" w:rsidRDefault="00300905" w:rsidP="00C84E4F">
      <w:pPr>
        <w:spacing w:after="0"/>
        <w:jc w:val="both"/>
      </w:pPr>
      <w:r>
        <w:t>Ovršni postupak se pokreće za dugovanja u visini većoj od 1.000,00 kn po jednom dužniku.</w:t>
      </w:r>
    </w:p>
    <w:p w:rsidR="00300905" w:rsidRDefault="00300905" w:rsidP="00C84E4F">
      <w:pPr>
        <w:spacing w:after="0"/>
        <w:jc w:val="both"/>
      </w:pPr>
      <w:r>
        <w:t>Za dugovanja od 400,00 do 1.000,00 kn kada nije moguća jednokratna naplata potraživanja, ravnatelj donosi Odluku o obročnoj otplati duga.</w:t>
      </w:r>
    </w:p>
    <w:p w:rsidR="00C84E4F" w:rsidRDefault="00C84E4F" w:rsidP="00C84E4F">
      <w:pPr>
        <w:spacing w:after="0"/>
        <w:jc w:val="both"/>
      </w:pPr>
    </w:p>
    <w:p w:rsidR="00300905" w:rsidRDefault="00C84E4F" w:rsidP="00C84E4F">
      <w:pPr>
        <w:spacing w:after="0"/>
        <w:jc w:val="both"/>
      </w:pPr>
      <w:r>
        <w:lastRenderedPageBreak/>
        <w:t>Ova</w:t>
      </w:r>
      <w:r w:rsidR="00300905">
        <w:t xml:space="preserve"> procedure provodi se sljedećim redoslijedom:</w:t>
      </w:r>
    </w:p>
    <w:p w:rsidR="00C84E4F" w:rsidRDefault="00C84E4F" w:rsidP="00C84E4F">
      <w:pPr>
        <w:spacing w:after="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2"/>
        <w:gridCol w:w="2718"/>
        <w:gridCol w:w="1588"/>
        <w:gridCol w:w="2123"/>
        <w:gridCol w:w="1791"/>
      </w:tblGrid>
      <w:tr w:rsidR="00300905" w:rsidTr="004A0924">
        <w:tc>
          <w:tcPr>
            <w:tcW w:w="842" w:type="dxa"/>
          </w:tcPr>
          <w:p w:rsidR="00300905" w:rsidRPr="00300905" w:rsidRDefault="00300905" w:rsidP="00300905">
            <w:pPr>
              <w:jc w:val="center"/>
              <w:rPr>
                <w:b/>
              </w:rPr>
            </w:pPr>
            <w:r w:rsidRPr="00300905">
              <w:rPr>
                <w:b/>
              </w:rPr>
              <w:t>REDNI</w:t>
            </w:r>
          </w:p>
          <w:p w:rsidR="00300905" w:rsidRPr="00300905" w:rsidRDefault="00300905" w:rsidP="00300905">
            <w:pPr>
              <w:jc w:val="center"/>
              <w:rPr>
                <w:b/>
              </w:rPr>
            </w:pPr>
            <w:r w:rsidRPr="00300905">
              <w:rPr>
                <w:b/>
              </w:rPr>
              <w:t>BROJ</w:t>
            </w:r>
          </w:p>
        </w:tc>
        <w:tc>
          <w:tcPr>
            <w:tcW w:w="2718" w:type="dxa"/>
          </w:tcPr>
          <w:p w:rsidR="00300905" w:rsidRPr="00300905" w:rsidRDefault="00300905" w:rsidP="00300905">
            <w:pPr>
              <w:jc w:val="center"/>
              <w:rPr>
                <w:b/>
              </w:rPr>
            </w:pPr>
            <w:r w:rsidRPr="00300905">
              <w:rPr>
                <w:b/>
              </w:rPr>
              <w:t>AKTIVNOST</w:t>
            </w:r>
          </w:p>
        </w:tc>
        <w:tc>
          <w:tcPr>
            <w:tcW w:w="1588" w:type="dxa"/>
          </w:tcPr>
          <w:p w:rsidR="00300905" w:rsidRPr="00300905" w:rsidRDefault="00300905" w:rsidP="00300905">
            <w:pPr>
              <w:jc w:val="center"/>
              <w:rPr>
                <w:b/>
              </w:rPr>
            </w:pPr>
            <w:r w:rsidRPr="00300905">
              <w:rPr>
                <w:b/>
              </w:rPr>
              <w:t>NADLEŽNOST</w:t>
            </w:r>
          </w:p>
        </w:tc>
        <w:tc>
          <w:tcPr>
            <w:tcW w:w="2123" w:type="dxa"/>
          </w:tcPr>
          <w:p w:rsidR="00300905" w:rsidRPr="00300905" w:rsidRDefault="00300905" w:rsidP="00300905">
            <w:pPr>
              <w:jc w:val="center"/>
              <w:rPr>
                <w:b/>
              </w:rPr>
            </w:pPr>
            <w:r w:rsidRPr="00300905">
              <w:rPr>
                <w:b/>
              </w:rPr>
              <w:t>DOKUMENT</w:t>
            </w:r>
          </w:p>
        </w:tc>
        <w:tc>
          <w:tcPr>
            <w:tcW w:w="1791" w:type="dxa"/>
          </w:tcPr>
          <w:p w:rsidR="00300905" w:rsidRPr="00300905" w:rsidRDefault="00300905" w:rsidP="00300905">
            <w:pPr>
              <w:jc w:val="center"/>
              <w:rPr>
                <w:b/>
              </w:rPr>
            </w:pPr>
            <w:r w:rsidRPr="00300905">
              <w:rPr>
                <w:b/>
              </w:rPr>
              <w:t>ROK</w:t>
            </w:r>
          </w:p>
        </w:tc>
      </w:tr>
      <w:tr w:rsidR="00300905" w:rsidTr="004A0924">
        <w:tc>
          <w:tcPr>
            <w:tcW w:w="842" w:type="dxa"/>
          </w:tcPr>
          <w:p w:rsidR="00300905" w:rsidRDefault="00300905" w:rsidP="00676F48">
            <w:r>
              <w:t>1.</w:t>
            </w:r>
          </w:p>
        </w:tc>
        <w:tc>
          <w:tcPr>
            <w:tcW w:w="2718" w:type="dxa"/>
          </w:tcPr>
          <w:p w:rsidR="00300905" w:rsidRDefault="00300905" w:rsidP="00676F48">
            <w:r>
              <w:t>Utvrđivanje knjigovodstvenog stanja dužnika</w:t>
            </w:r>
          </w:p>
        </w:tc>
        <w:tc>
          <w:tcPr>
            <w:tcW w:w="1588" w:type="dxa"/>
          </w:tcPr>
          <w:p w:rsidR="00300905" w:rsidRDefault="00300905" w:rsidP="00676F48">
            <w:r>
              <w:t xml:space="preserve">Računovodstvo </w:t>
            </w:r>
          </w:p>
        </w:tc>
        <w:tc>
          <w:tcPr>
            <w:tcW w:w="2123" w:type="dxa"/>
          </w:tcPr>
          <w:p w:rsidR="00300905" w:rsidRDefault="00300905" w:rsidP="00676F48">
            <w:r>
              <w:t>Knjigovodstvene kartice</w:t>
            </w:r>
          </w:p>
        </w:tc>
        <w:tc>
          <w:tcPr>
            <w:tcW w:w="1791" w:type="dxa"/>
          </w:tcPr>
          <w:p w:rsidR="00300905" w:rsidRDefault="00300905" w:rsidP="00676F48">
            <w:r>
              <w:t>Prije zastare potraživanja</w:t>
            </w:r>
          </w:p>
        </w:tc>
      </w:tr>
      <w:tr w:rsidR="00300905" w:rsidTr="004A0924">
        <w:tc>
          <w:tcPr>
            <w:tcW w:w="842" w:type="dxa"/>
          </w:tcPr>
          <w:p w:rsidR="00300905" w:rsidRDefault="00300905" w:rsidP="00676F48">
            <w:r>
              <w:t>2.</w:t>
            </w:r>
          </w:p>
        </w:tc>
        <w:tc>
          <w:tcPr>
            <w:tcW w:w="2718" w:type="dxa"/>
          </w:tcPr>
          <w:p w:rsidR="00300905" w:rsidRDefault="00300905" w:rsidP="00676F48">
            <w:r>
              <w:t>Prikupljanje dokumentacije za ovršni postupak</w:t>
            </w:r>
          </w:p>
        </w:tc>
        <w:tc>
          <w:tcPr>
            <w:tcW w:w="1588" w:type="dxa"/>
          </w:tcPr>
          <w:p w:rsidR="00300905" w:rsidRDefault="00300905" w:rsidP="00300905">
            <w:r>
              <w:t xml:space="preserve">Računovodstvo </w:t>
            </w:r>
          </w:p>
        </w:tc>
        <w:tc>
          <w:tcPr>
            <w:tcW w:w="2123" w:type="dxa"/>
          </w:tcPr>
          <w:p w:rsidR="00300905" w:rsidRDefault="00300905" w:rsidP="00676F48">
            <w:r>
              <w:t>Knjigovodstvene kartice i računi</w:t>
            </w:r>
          </w:p>
        </w:tc>
        <w:tc>
          <w:tcPr>
            <w:tcW w:w="1791" w:type="dxa"/>
          </w:tcPr>
          <w:p w:rsidR="00300905" w:rsidRDefault="00300905" w:rsidP="00676F48">
            <w:r>
              <w:t>Prije zastare potraživanja</w:t>
            </w:r>
          </w:p>
        </w:tc>
      </w:tr>
      <w:tr w:rsidR="00300905" w:rsidTr="004A0924">
        <w:tc>
          <w:tcPr>
            <w:tcW w:w="842" w:type="dxa"/>
          </w:tcPr>
          <w:p w:rsidR="00300905" w:rsidRDefault="00300905" w:rsidP="00676F48">
            <w:r>
              <w:t>3.</w:t>
            </w:r>
          </w:p>
        </w:tc>
        <w:tc>
          <w:tcPr>
            <w:tcW w:w="2718" w:type="dxa"/>
          </w:tcPr>
          <w:p w:rsidR="00300905" w:rsidRDefault="00300905" w:rsidP="00676F48">
            <w:r>
              <w:t>Izrada prijedloga za ovrhu</w:t>
            </w:r>
          </w:p>
        </w:tc>
        <w:tc>
          <w:tcPr>
            <w:tcW w:w="1588" w:type="dxa"/>
          </w:tcPr>
          <w:p w:rsidR="00300905" w:rsidRDefault="00300905" w:rsidP="00676F48">
            <w:r>
              <w:t xml:space="preserve">Tajništvo </w:t>
            </w:r>
          </w:p>
        </w:tc>
        <w:tc>
          <w:tcPr>
            <w:tcW w:w="2123" w:type="dxa"/>
          </w:tcPr>
          <w:p w:rsidR="00300905" w:rsidRDefault="00300905" w:rsidP="00676F48">
            <w:r>
              <w:t>Nacrt prijedloga za ovrhu javnom bilježniku</w:t>
            </w:r>
          </w:p>
        </w:tc>
        <w:tc>
          <w:tcPr>
            <w:tcW w:w="1791" w:type="dxa"/>
          </w:tcPr>
          <w:p w:rsidR="00300905" w:rsidRDefault="00300905" w:rsidP="00676F48">
            <w:r>
              <w:t>Najkasnije 2 dana od pokretanja postupka</w:t>
            </w:r>
          </w:p>
        </w:tc>
      </w:tr>
      <w:tr w:rsidR="00300905" w:rsidTr="004A0924">
        <w:tc>
          <w:tcPr>
            <w:tcW w:w="842" w:type="dxa"/>
          </w:tcPr>
          <w:p w:rsidR="00300905" w:rsidRDefault="00300905" w:rsidP="00676F48">
            <w:r>
              <w:t>4.</w:t>
            </w:r>
          </w:p>
        </w:tc>
        <w:tc>
          <w:tcPr>
            <w:tcW w:w="2718" w:type="dxa"/>
          </w:tcPr>
          <w:p w:rsidR="00300905" w:rsidRDefault="00300905" w:rsidP="00676F48">
            <w:r>
              <w:t>Ovjera i potpis prijedloga za ovrhu</w:t>
            </w:r>
          </w:p>
        </w:tc>
        <w:tc>
          <w:tcPr>
            <w:tcW w:w="1588" w:type="dxa"/>
          </w:tcPr>
          <w:p w:rsidR="00300905" w:rsidRDefault="004A0924" w:rsidP="00676F48">
            <w:r>
              <w:t xml:space="preserve">Ravnatelj </w:t>
            </w:r>
          </w:p>
        </w:tc>
        <w:tc>
          <w:tcPr>
            <w:tcW w:w="2123" w:type="dxa"/>
          </w:tcPr>
          <w:p w:rsidR="00300905" w:rsidRDefault="004A0924" w:rsidP="00676F48">
            <w:r>
              <w:t>Prijedlog za ovrhu javnom bilježniku</w:t>
            </w:r>
          </w:p>
        </w:tc>
        <w:tc>
          <w:tcPr>
            <w:tcW w:w="1791" w:type="dxa"/>
          </w:tcPr>
          <w:p w:rsidR="00300905" w:rsidRDefault="004A0924" w:rsidP="00676F48">
            <w:r>
              <w:t xml:space="preserve">        </w:t>
            </w:r>
          </w:p>
          <w:p w:rsidR="004A0924" w:rsidRDefault="004A0924" w:rsidP="00676F48">
            <w:r>
              <w:t xml:space="preserve">       „</w:t>
            </w:r>
          </w:p>
        </w:tc>
      </w:tr>
      <w:tr w:rsidR="00300905" w:rsidTr="004A0924">
        <w:tc>
          <w:tcPr>
            <w:tcW w:w="842" w:type="dxa"/>
          </w:tcPr>
          <w:p w:rsidR="00300905" w:rsidRDefault="004A0924" w:rsidP="00676F48">
            <w:r>
              <w:t>5.</w:t>
            </w:r>
          </w:p>
        </w:tc>
        <w:tc>
          <w:tcPr>
            <w:tcW w:w="2718" w:type="dxa"/>
          </w:tcPr>
          <w:p w:rsidR="00300905" w:rsidRDefault="004A0924" w:rsidP="00676F48">
            <w:r>
              <w:t>Dostava prijedloga za ovrhu javnom bilježniku</w:t>
            </w:r>
          </w:p>
        </w:tc>
        <w:tc>
          <w:tcPr>
            <w:tcW w:w="1588" w:type="dxa"/>
          </w:tcPr>
          <w:p w:rsidR="00300905" w:rsidRDefault="004A0924" w:rsidP="00676F48">
            <w:r>
              <w:t xml:space="preserve">Tajništvo </w:t>
            </w:r>
          </w:p>
        </w:tc>
        <w:tc>
          <w:tcPr>
            <w:tcW w:w="2123" w:type="dxa"/>
          </w:tcPr>
          <w:p w:rsidR="00300905" w:rsidRDefault="004A0924" w:rsidP="00676F48">
            <w:r>
              <w:t>Knjiga izlazne pošte</w:t>
            </w:r>
          </w:p>
        </w:tc>
        <w:tc>
          <w:tcPr>
            <w:tcW w:w="1791" w:type="dxa"/>
          </w:tcPr>
          <w:p w:rsidR="00300905" w:rsidRDefault="004A0924" w:rsidP="00676F48">
            <w:r>
              <w:t>Najkasnije 2 dana od izrade prijedloga za ovrhu</w:t>
            </w:r>
          </w:p>
        </w:tc>
      </w:tr>
      <w:tr w:rsidR="00300905" w:rsidTr="004A0924">
        <w:tc>
          <w:tcPr>
            <w:tcW w:w="842" w:type="dxa"/>
          </w:tcPr>
          <w:p w:rsidR="00300905" w:rsidRDefault="004A0924" w:rsidP="00676F48">
            <w:r>
              <w:t>6.</w:t>
            </w:r>
          </w:p>
        </w:tc>
        <w:tc>
          <w:tcPr>
            <w:tcW w:w="2718" w:type="dxa"/>
          </w:tcPr>
          <w:p w:rsidR="00300905" w:rsidRDefault="004A0924" w:rsidP="00676F48">
            <w:r>
              <w:t>Dostava pravomoćnih rješenja o ovrsi FINI</w:t>
            </w:r>
          </w:p>
        </w:tc>
        <w:tc>
          <w:tcPr>
            <w:tcW w:w="1588" w:type="dxa"/>
          </w:tcPr>
          <w:p w:rsidR="00300905" w:rsidRDefault="004A0924" w:rsidP="00676F48">
            <w:r>
              <w:t xml:space="preserve">Računovodstvo </w:t>
            </w:r>
          </w:p>
        </w:tc>
        <w:tc>
          <w:tcPr>
            <w:tcW w:w="2123" w:type="dxa"/>
          </w:tcPr>
          <w:p w:rsidR="00300905" w:rsidRDefault="004A0924" w:rsidP="00676F48">
            <w:r>
              <w:t>Pravomoćno rješenje</w:t>
            </w:r>
          </w:p>
        </w:tc>
        <w:tc>
          <w:tcPr>
            <w:tcW w:w="1791" w:type="dxa"/>
          </w:tcPr>
          <w:p w:rsidR="00300905" w:rsidRDefault="004A0924" w:rsidP="00676F48">
            <w:r>
              <w:t>Najkasnije 2 dana od primitka pravomoćnog rješenja</w:t>
            </w:r>
          </w:p>
        </w:tc>
      </w:tr>
    </w:tbl>
    <w:p w:rsidR="00300905" w:rsidRDefault="00300905" w:rsidP="00676F48"/>
    <w:p w:rsidR="004A0924" w:rsidRDefault="004A0924" w:rsidP="00C84E4F">
      <w:pPr>
        <w:spacing w:after="0"/>
        <w:jc w:val="center"/>
      </w:pPr>
      <w:r>
        <w:t>Čl. 8.</w:t>
      </w:r>
    </w:p>
    <w:p w:rsidR="004A0924" w:rsidRDefault="004A0924" w:rsidP="00C84E4F">
      <w:pPr>
        <w:spacing w:after="0"/>
        <w:jc w:val="both"/>
      </w:pPr>
      <w:r>
        <w:t>Ovom procedurom uvodi se redoviti sustav opominjanja po osnovi prihoda koje određeni dužnik ima prema Školi.</w:t>
      </w:r>
    </w:p>
    <w:p w:rsidR="004A0924" w:rsidRDefault="004A0924" w:rsidP="00C84E4F">
      <w:pPr>
        <w:jc w:val="both"/>
      </w:pPr>
    </w:p>
    <w:p w:rsidR="004A0924" w:rsidRDefault="004A0924" w:rsidP="00C84E4F">
      <w:pPr>
        <w:spacing w:after="0"/>
        <w:jc w:val="center"/>
      </w:pPr>
      <w:r>
        <w:t>Čl. 9.</w:t>
      </w:r>
    </w:p>
    <w:p w:rsidR="004A0924" w:rsidRDefault="004A0924" w:rsidP="00C84E4F">
      <w:pPr>
        <w:spacing w:after="0"/>
      </w:pPr>
      <w:r>
        <w:t xml:space="preserve">Ova procedura stupa na snagu danom donošenja i objaviti će se </w:t>
      </w:r>
      <w:r w:rsidR="009109A0">
        <w:t>na oglasnim pločama škole</w:t>
      </w:r>
      <w:r>
        <w:t>.</w:t>
      </w:r>
    </w:p>
    <w:p w:rsidR="004A0924" w:rsidRDefault="004A0924" w:rsidP="00676F48"/>
    <w:p w:rsidR="004A0924" w:rsidRDefault="004A0924" w:rsidP="00676F48"/>
    <w:p w:rsidR="004A0924" w:rsidRDefault="004A0924" w:rsidP="00676F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4A0924" w:rsidRDefault="004A0924" w:rsidP="00676F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Jadranka Bartolić Muzica, prof.</w:t>
      </w:r>
    </w:p>
    <w:p w:rsidR="00A17207" w:rsidRPr="002137EC" w:rsidRDefault="00A17207" w:rsidP="00676F48"/>
    <w:sectPr w:rsidR="00A17207" w:rsidRPr="002137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B8" w:rsidRDefault="008C02B8" w:rsidP="00430090">
      <w:pPr>
        <w:spacing w:after="0" w:line="240" w:lineRule="auto"/>
      </w:pPr>
      <w:r>
        <w:separator/>
      </w:r>
    </w:p>
  </w:endnote>
  <w:endnote w:type="continuationSeparator" w:id="0">
    <w:p w:rsidR="008C02B8" w:rsidRDefault="008C02B8" w:rsidP="0043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628278"/>
      <w:docPartObj>
        <w:docPartGallery w:val="Page Numbers (Bottom of Page)"/>
        <w:docPartUnique/>
      </w:docPartObj>
    </w:sdtPr>
    <w:sdtEndPr/>
    <w:sdtContent>
      <w:p w:rsidR="00430090" w:rsidRDefault="0043009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F81">
          <w:rPr>
            <w:noProof/>
          </w:rPr>
          <w:t>1</w:t>
        </w:r>
        <w:r>
          <w:fldChar w:fldCharType="end"/>
        </w:r>
      </w:p>
    </w:sdtContent>
  </w:sdt>
  <w:p w:rsidR="00430090" w:rsidRDefault="004300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B8" w:rsidRDefault="008C02B8" w:rsidP="00430090">
      <w:pPr>
        <w:spacing w:after="0" w:line="240" w:lineRule="auto"/>
      </w:pPr>
      <w:r>
        <w:separator/>
      </w:r>
    </w:p>
  </w:footnote>
  <w:footnote w:type="continuationSeparator" w:id="0">
    <w:p w:rsidR="008C02B8" w:rsidRDefault="008C02B8" w:rsidP="0043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A9D"/>
    <w:multiLevelType w:val="hybridMultilevel"/>
    <w:tmpl w:val="CA129D36"/>
    <w:lvl w:ilvl="0" w:tplc="BADE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EC"/>
    <w:rsid w:val="001D5E93"/>
    <w:rsid w:val="002137EC"/>
    <w:rsid w:val="00280446"/>
    <w:rsid w:val="00300905"/>
    <w:rsid w:val="004271F4"/>
    <w:rsid w:val="00430090"/>
    <w:rsid w:val="004A0924"/>
    <w:rsid w:val="005315E1"/>
    <w:rsid w:val="00661F81"/>
    <w:rsid w:val="00676F48"/>
    <w:rsid w:val="006C4768"/>
    <w:rsid w:val="008C02B8"/>
    <w:rsid w:val="009109A0"/>
    <w:rsid w:val="0099452A"/>
    <w:rsid w:val="00A17207"/>
    <w:rsid w:val="00A2603D"/>
    <w:rsid w:val="00B76E90"/>
    <w:rsid w:val="00C84E4F"/>
    <w:rsid w:val="00E70812"/>
    <w:rsid w:val="00EC5671"/>
    <w:rsid w:val="00F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47583-D673-4D3B-9EBE-5429EC5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812"/>
    <w:pPr>
      <w:ind w:left="720"/>
      <w:contextualSpacing/>
    </w:pPr>
  </w:style>
  <w:style w:type="table" w:styleId="Reetkatablice">
    <w:name w:val="Table Grid"/>
    <w:basedOn w:val="Obinatablica"/>
    <w:uiPriority w:val="39"/>
    <w:rsid w:val="0067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3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09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3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0090"/>
  </w:style>
  <w:style w:type="paragraph" w:styleId="Podnoje">
    <w:name w:val="footer"/>
    <w:basedOn w:val="Normal"/>
    <w:link w:val="PodnojeChar"/>
    <w:uiPriority w:val="99"/>
    <w:unhideWhenUsed/>
    <w:rsid w:val="0043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Lucana</dc:creator>
  <cp:lastModifiedBy>Windows User</cp:lastModifiedBy>
  <cp:revision>2</cp:revision>
  <cp:lastPrinted>2017-01-05T11:34:00Z</cp:lastPrinted>
  <dcterms:created xsi:type="dcterms:W3CDTF">2020-02-28T12:11:00Z</dcterms:created>
  <dcterms:modified xsi:type="dcterms:W3CDTF">2020-02-28T12:11:00Z</dcterms:modified>
</cp:coreProperties>
</file>